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58.jpg" ContentType="image/jpeg"/>
  <Override PartName="/word/media/rId61.jpg" ContentType="image/jpeg"/>
  <Override PartName="/word/media/rId65.png" ContentType="image/png"/>
  <Override PartName="/word/media/rId68.png" ContentType="image/png"/>
  <Override PartName="/word/media/rId72.png" ContentType="image/png"/>
  <Override PartName="/word/media/rId26.jpg" ContentType="image/jpeg"/>
  <Override PartName="/word/media/rId35.jpg" ContentType="image/jpeg"/>
  <Override PartName="/word/media/rId38.jpg" ContentType="image/jpeg"/>
  <Override PartName="/word/media/rId41.jpg" ContentType="image/jpeg"/>
  <Override PartName="/word/media/rId45.jpg" ContentType="image/jpeg"/>
  <Override PartName="/word/media/rId48.png" ContentType="image/png"/>
  <Override PartName="/word/media/rId51.jpg" ContentType="image/jpeg"/>
  <Override PartName="/word/media/rId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The previous chapter described the two research areas this thesis seeks to explore: how people think about data and what they want from it; and the role data takes and should take in people’s relationships with organisations. This chapter will explain this PhD’s approach to conducting research in this area, detailing the types of methods used, and explaining how the different research activities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Section II), to functioning as an activist trying to change it (in Section IV).</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30" w:name="X7ffd93865bc60f6431831db2605565dffbb7509"/>
    <w:p>
      <w:pPr>
        <w:pStyle w:val="Heading2"/>
      </w:pPr>
      <w:r>
        <w:rPr>
          <w:rStyle w:val="SectionNumber"/>
        </w:rPr>
        <w:t xml:space="preserve">1.2</w:t>
      </w:r>
      <w:r>
        <w:tab/>
      </w:r>
      <w:r>
        <w:t xml:space="preserve">Research Approach</w:t>
      </w:r>
    </w:p>
    <w:bookmarkStart w:id="21" w:name="X98d4ef3e7a6039ddbf0f888a2fd1c5243f7318b"/>
    <w:p>
      <w:pPr>
        <w:pStyle w:val="Heading3"/>
      </w:pPr>
      <w:r>
        <w:rPr>
          <w:rStyle w:val="SectionNumber"/>
        </w:rPr>
        <w:t xml:space="preserve">1.2.1</w:t>
      </w:r>
      <w:r>
        <w:tab/>
      </w:r>
      <w:r>
        <w:t xml:space="preserve">Participatory Co-Design &amp; Experience-centred Design</w:t>
      </w:r>
    </w:p>
    <w:p>
      <w:pPr>
        <w:pStyle w:val="FirstParagraph"/>
      </w:pPr>
      <w:r>
        <w:t xml:space="preserve">Moving from general research philosophy to specifics of this PhD, I see the purpose of this research as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1">
        <w:r>
          <w:rPr>
            <w:rStyle w:val="Hyperlink"/>
          </w:rPr>
          <w:t xml:space="preserve">11</w:t>
        </w:r>
      </w:hyperlink>
      <w:r>
        <w:t xml:space="preserve"> </w:t>
      </w:r>
      <w:r>
        <w:t xml:space="preserve">from data, and from those who hold it. Based on the premise of individual betterment laid out above, these desires serve as justification for the thesis to take a moral stance on personal data: That access to data held about you by others is a fundamental right, and that theory and action that can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I advocate an even more positional stance: the researcher can be an activist, seeking to correct an imbalance in the world through their research. As such, the design elements of this research can be considered as political. In this thesis, especially Section IV,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and</w:t>
      </w:r>
      <w:r>
        <w:t xml:space="preserve"> </w:t>
      </w:r>
      <w:hyperlink w:anchor="chapter-8">
        <w:r>
          <w:rPr>
            <w:rStyle w:val="Hyperlink"/>
          </w:rPr>
          <w:t xml:space="preserve">Chapter 8</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carried out through the Case Studies is to inform myself as adversarial designer and activist researcher. Acquired insights from the experiences of research participants can help me to develop my own understanding, models, and theories for change.</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in a commercial context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about what they might like to see changed.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when moving from problem definition to solution-focused design throughout Sections III, IV and V.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[See</w:t>
      </w:r>
      <w:r>
        <w:t xml:space="preserve"> </w:t>
      </w:r>
      <w:hyperlink w:anchor="section-iv-embedded-project-settings">
        <w:r>
          <w:rPr>
            <w:rStyle w:val="Hyperlink"/>
          </w:rPr>
          <w:t xml:space="preserve">Section IV Introduction</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9" w:name="X03a4300e5939d1d7fbfb90958aac5b413468ba3"/>
    <w:p>
      <w:pPr>
        <w:pStyle w:val="Heading3"/>
      </w:pPr>
      <w:r>
        <w:rPr>
          <w:rStyle w:val="SectionNumber"/>
        </w:rPr>
        <w:t xml:space="preserve">1.2.2</w:t>
      </w:r>
      <w:r>
        <w:tab/>
      </w:r>
      <w:r>
        <w:t xml:space="preserve">A Two-Track Research Approach: Learning and Practice</w:t>
      </w:r>
    </w:p>
    <w:p>
      <w:pPr>
        <w:pStyle w:val="FirstParagraph"/>
      </w:pPr>
      <w:r>
        <w:t xml:space="preserve">The overall research design for this PhD was informed by two key motives:</w:t>
      </w:r>
    </w:p>
    <w:p>
      <w:pPr>
        <w:numPr>
          <w:ilvl w:val="0"/>
          <w:numId w:val="1002"/>
        </w:numPr>
        <w:pStyle w:val="Compact"/>
      </w:pPr>
      <w:r>
        <w:t xml:space="preserve">the desire to ensure that both PD (participant-driven) and UCD (expert-driven) design approaches contribute to the learning and models produced by this research, and</w:t>
      </w:r>
    </w:p>
    <w:p>
      <w:pPr>
        <w:numPr>
          <w:ilvl w:val="0"/>
          <w:numId w:val="1002"/>
        </w:numPr>
        <w:pStyle w:val="Compact"/>
      </w:pPr>
      <w:r>
        <w:t xml:space="preserve">the recognition that real-world problems with a lack of agency and negotiability over personal data cannot be fully understood, nor any tangible impact achieved, without embracing the problem space at a sociotechnical level - going beyond understanding the problems, to attempting to actually apply that understanding in practice.</w:t>
      </w:r>
    </w:p>
    <w:p>
      <w:pPr>
        <w:pStyle w:val="FirstParagraph"/>
      </w:pPr>
      <w:r>
        <w:t xml:space="preserve">I judged, therefore, that participatory design work needed to be accompanied by practical work in relevant industrial and academic projects that were also attempting to improve people’s agency and relationships with data, as well as individual experimentation to familiarise myself with data rights and explore technical possibilities. These grounded efforts would enable learning about the technologies, business processes and market forces affecting the problem space, and would allow theories and models emerging from the theoretical side of the research to be more thoroughly examined from a real-world perspective.</w:t>
      </w:r>
    </w:p>
    <w:p>
      <w:pPr>
        <w:pStyle w:val="BodyText"/>
      </w:pPr>
      <w:r>
        <w:t xml:space="preserve">In order to explore the research questions from as many angles as possible, I wanted to design a research approach including three types of activity:</w:t>
      </w:r>
    </w:p>
    <w:p>
      <w:pPr>
        <w:numPr>
          <w:ilvl w:val="0"/>
          <w:numId w:val="1003"/>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models and explore the problem and solution spaces myself, and</w:t>
      </w:r>
    </w:p>
    <w:p>
      <w:pPr>
        <w:numPr>
          <w:ilvl w:val="0"/>
          <w:numId w:val="1003"/>
        </w:numPr>
        <w:pStyle w:val="Compact"/>
      </w:pPr>
      <w:r>
        <w:rPr>
          <w:iCs/>
          <w:i/>
        </w:rPr>
        <w:t xml:space="preserve">embedded research activities</w:t>
      </w:r>
      <w:r>
        <w:t xml:space="preserve"> </w:t>
      </w:r>
      <w:r>
        <w:t xml:space="preserve">- where I participate as an involved team member, in external organisations’ real-world projects that are trying to effect change in the personal data space, in order to learn about the challenges faced and the viability of different approaches, informed by the grounded experience of myself and others. This draws on the concept of embedded research as described in</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self-experimentation (2) are not explicitly documented, only mentioned in passing, though they inform the thesis throughout. The Case Studies that make up</w:t>
      </w:r>
      <w:r>
        <w:t xml:space="preserve"> </w:t>
      </w:r>
      <w:hyperlink w:anchor="section-ii">
        <w:r>
          <w:rPr>
            <w:rStyle w:val="Hyperlink"/>
          </w:rPr>
          <w:t xml:space="preserve">Section II</w:t>
        </w:r>
      </w:hyperlink>
      <w:r>
        <w:t xml:space="preserve"> </w:t>
      </w:r>
      <w:r>
        <w:t xml:space="preserve">focus solely on participatory co-design (1), while the embedded research activities (3) are documented in</w:t>
      </w:r>
      <w:r>
        <w:t xml:space="preserve"> </w:t>
      </w:r>
      <w:hyperlink w:anchor="section-iv">
        <w:r>
          <w:rPr>
            <w:rStyle w:val="Hyperlink"/>
          </w:rPr>
          <w:t xml:space="preserve">Section IV</w:t>
        </w:r>
      </w:hyperlink>
      <w:r>
        <w:t xml:space="preserve"> </w:t>
      </w:r>
      <w:r>
        <w:t xml:space="preserve">and inform the latter half of the thesis.</w:t>
      </w:r>
    </w:p>
    <w:p>
      <w:pPr>
        <w:pStyle w:val="BodyText"/>
      </w:pPr>
      <w:r>
        <w:t xml:space="preserve">It was an important part of my research design, that these two types of activities happen in parallel throughout the duration of the the PhD, so that theory could inform practice and vice-versa. The Case Studies’ work with participants serves to inform an evolving understanding of human needs around data, while the embedded work in external projects involves a conscious shift of mindset from PD to UCD, in essence using the Case Studies’ findings as requirements and acting as a testing ground for emerging theories, models and themes coming out of the participatory work.</w:t>
      </w:r>
    </w:p>
    <w:p>
      <w:pPr>
        <w:pStyle w:val="BodyText"/>
      </w:pPr>
      <w:r>
        <w:t xml:space="preserve">This cyclical back-and-forth between the theoretical/participatory work and the grounded/embedded projects did not need to follow a formal methodology or discipline, but philosophically takes inspiration from existing concepts that hang on the idea of developing learnings being fed back into an iterative process, allow plans and designs and understandings to be updated. In an academic context, a useful frame for this is</w:t>
      </w:r>
      <w:r>
        <w:t xml:space="preserve"> </w:t>
      </w:r>
      <w:r>
        <w:rPr>
          <w:iCs/>
          <w:i/>
        </w:rPr>
        <w:t xml:space="preserve">action research</w:t>
      </w:r>
      <w:r>
        <w:t xml:space="preserve"> </w:t>
      </w:r>
      <w:r>
        <w:t xml:space="preserve">(</w:t>
      </w:r>
      <w:hyperlink w:anchor="ref-lewin1946">
        <w:r>
          <w:rPr>
            <w:rStyle w:val="Hyperlink"/>
          </w:rPr>
          <w:t xml:space="preserve">Lewin, 1946</w:t>
        </w:r>
      </w:hyperlink>
      <w:r>
        <w:t xml:space="preserve">)</w:t>
      </w:r>
      <w:r>
        <w:t xml:space="preserve"> </w:t>
      </w:r>
      <w:r>
        <w:rPr>
          <w:rStyle w:val="FootnoteReference"/>
        </w:rPr>
        <w:footnoteReference w:id="22"/>
      </w:r>
      <w:r>
        <w:t xml:space="preserve"> </w:t>
      </w:r>
      <w:r>
        <w:t xml:space="preserve">. In production industries, especially software development, a common model for this is</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where stakeholder feedback is collected at regular intervals. In entrepreneurial business contexts,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w:t>
      </w:r>
    </w:p>
    <w:p>
      <w:pPr>
        <w:pStyle w:val="BodyText"/>
      </w:pPr>
      <w:r>
        <w:t xml:space="preserve">Whichever term is most relatable to the reader, the common thread is the same: that research or investigation should be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This PhD deliberately adopts a broad interpretation of these ideas. For me, getting value from action research does not mean that you must test every single idea with an audience for it to be considered valid, but rather that is important to consider that user engagement is not a one-off, but a repeated component that will continue to affect the research and learning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r>
        <w:drawing>
          <wp:inline>
            <wp:extent cx="5334000" cy="7108480"/>
            <wp:effectExtent b="0" l="0" r="0" t="0"/>
            <wp:docPr descr="Figure 3.1: The Action Research Cycle, as Applied in this PhD" title="" id="24" name="Picture"/>
            <a:graphic>
              <a:graphicData uri="http://schemas.openxmlformats.org/drawingml/2006/picture">
                <pic:pic>
                  <pic:nvPicPr>
                    <pic:cNvPr descr="./src/figs/fig3.1-my-action-research-cycle.jpg" id="25" name="Picture"/>
                    <pic:cNvPicPr>
                      <a:picLocks noChangeArrowheads="1" noChangeAspect="1"/>
                    </pic:cNvPicPr>
                  </pic:nvPicPr>
                  <pic:blipFill>
                    <a:blip r:embed="rId23"/>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3.1: The Action Research Cycle, as Applied in this PhD</w:t>
      </w:r>
    </w:p>
    <w:p>
      <w:pPr>
        <w:pStyle w:val="BodyText"/>
      </w:pPr>
      <w:hyperlink w:anchor="figure-3.1">
        <w:r>
          <w:rPr>
            <w:rStyle w:val="Hyperlink"/>
          </w:rPr>
          <w:t xml:space="preserve">Figure 3.1</w:t>
        </w:r>
      </w:hyperlink>
      <w:r>
        <w:t xml:space="preserve"> </w:t>
      </w:r>
      <w:r>
        <w:t xml:space="preserve">shows in the abstract, what each cycle of learning within this PhD looks like.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w:t>
      </w:r>
    </w:p>
    <w:p>
      <w:pPr>
        <w:pStyle w:val="BodyText"/>
      </w:pPr>
      <w:r>
        <w:t xml:space="preserve">This cycle applies to both participatory activities (the design of which is fully in my control) and, to the greatest degree available to me, to the embedded project activities (whose design or implementation I was at times able to influence).</w:t>
      </w:r>
      <w:r>
        <w:t xml:space="preserve"> </w:t>
      </w:r>
      <w:hyperlink w:anchor="figure-3.2">
        <w:r>
          <w:rPr>
            <w:rStyle w:val="Hyperlink"/>
          </w:rPr>
          <w:t xml:space="preserve">Figure 3.2</w:t>
        </w:r>
      </w:hyperlink>
      <w:r>
        <w:t xml:space="preserve"> </w:t>
      </w:r>
      <w:r>
        <w:t xml:space="preserve">shows how the approach I have described here can be considered as two parallel tracks of participatory (theoretical) and embedded (practical) work, where downward arrows represent increasing learning and understanding. The positioning of activities as boxes along these arrows throughout the period of this PhD, indicates that that activity contributes to that area of understanding. Each track’s learning is contributed to by multiple activities, which continue to inform each other, both within and across the two tracks. This ongoing cycle of learning and influence between the two tracks is indicated by the angled purple arrows. This diagram represents what was at the outset, a planned approach, but has been updated retrospectively with the actual timeline of activities undertaken, giving a more concrete view of how the research activities progressed in practice. Specific activities are detailed further in Sections</w:t>
      </w:r>
      <w:r>
        <w:t xml:space="preserve"> </w:t>
      </w:r>
      <w:hyperlink w:anchor="section-ii">
        <w:r>
          <w:rPr>
            <w:rStyle w:val="Hyperlink"/>
          </w:rPr>
          <w:t xml:space="preserve">II</w:t>
        </w:r>
      </w:hyperlink>
      <w:r>
        <w:t xml:space="preserve"> </w:t>
      </w:r>
      <w:r>
        <w:t xml:space="preserve">and</w:t>
      </w:r>
      <w:r>
        <w:t xml:space="preserve"> </w:t>
      </w:r>
      <w:hyperlink w:anchor="section-iv">
        <w:r>
          <w:rPr>
            <w:rStyle w:val="Hyperlink"/>
          </w:rPr>
          <w:t xml:space="preserve">IV</w:t>
        </w:r>
      </w:hyperlink>
      <w:r>
        <w:t xml:space="preserve">.</w:t>
      </w:r>
    </w:p>
    <w:p>
      <w:pPr>
        <w:pStyle w:val="CaptionedFigure"/>
      </w:pPr>
      <w:r>
        <w:drawing>
          <wp:inline>
            <wp:extent cx="5334000" cy="7093543"/>
            <wp:effectExtent b="0" l="0" r="0" t="0"/>
            <wp:docPr descr="Figure 3.2: The Two-Track Research Approach of this PhD, and its Feedback Cycles" title="" id="27" name="Picture"/>
            <a:graphic>
              <a:graphicData uri="http://schemas.openxmlformats.org/drawingml/2006/picture">
                <pic:pic>
                  <pic:nvPicPr>
                    <pic:cNvPr descr="./src/figs/fig3.2-two-track-research-approach.jpg" id="28" name="Picture"/>
                    <pic:cNvPicPr>
                      <a:picLocks noChangeArrowheads="1" noChangeAspect="1"/>
                    </pic:cNvPicPr>
                  </pic:nvPicPr>
                  <pic:blipFill>
                    <a:blip r:embed="rId26"/>
                    <a:stretch>
                      <a:fillRect/>
                    </a:stretch>
                  </pic:blipFill>
                  <pic:spPr bwMode="auto">
                    <a:xfrm>
                      <a:off x="0" y="0"/>
                      <a:ext cx="5334000" cy="7093543"/>
                    </a:xfrm>
                    <a:prstGeom prst="rect">
                      <a:avLst/>
                    </a:prstGeom>
                    <a:noFill/>
                    <a:ln w="9525">
                      <a:noFill/>
                      <a:headEnd/>
                      <a:tailEnd/>
                    </a:ln>
                  </pic:spPr>
                </pic:pic>
              </a:graphicData>
            </a:graphic>
          </wp:inline>
        </w:drawing>
      </w:r>
    </w:p>
    <w:p>
      <w:pPr>
        <w:pStyle w:val="ImageCaption"/>
      </w:pPr>
      <w:r>
        <w:t xml:space="preserve">Figure 3.2: The Two-Track Research Approach of this PhD, and its Feedback Cycles</w:t>
      </w:r>
    </w:p>
    <w:p>
      <w:pPr>
        <w:pStyle w:val="BodyText"/>
      </w:pPr>
      <w:r>
        <w:t xml:space="preserve">These cycles enable analysis and learning to happen throughout, resulting in a continually updating current understanding that can form a baseline for subsequent research and practice activities. In the next section, I will describe the two specific research objectives that are targeted through the Case Studies, and the further goals of the embedded practical work.</w:t>
      </w:r>
    </w:p>
    <w:bookmarkEnd w:id="29"/>
    <w:bookmarkEnd w:id="30"/>
    <w:bookmarkStart w:id="34" w:name="X9c68c54449dd45e3ffc6d16d2e2e55125c2895d"/>
    <w:p>
      <w:pPr>
        <w:pStyle w:val="Heading2"/>
      </w:pPr>
      <w:r>
        <w:rPr>
          <w:rStyle w:val="SectionNumber"/>
        </w:rPr>
        <w:t xml:space="preserve">1.3</w:t>
      </w:r>
      <w:r>
        <w:tab/>
      </w:r>
      <w:r>
        <w:t xml:space="preserve">Research Objectives</w:t>
      </w:r>
    </w:p>
    <w:p>
      <w:pPr>
        <w:pStyle w:val="FirstParagraph"/>
      </w:pPr>
      <w:r>
        <w:t xml:space="preserve">The end of chapter 2 introduced the primary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focus on exploring these two gaps, which are now expressed as two distinct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31" w:name="RQ1"/>
    <w:p>
      <w:pPr>
        <w:pStyle w:val="Heading3"/>
      </w:pPr>
      <w:r>
        <w:rPr>
          <w:rStyle w:val="SectionNumber"/>
        </w:rPr>
        <w:t xml:space="preserve">1.3.1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A participatory approach will be used to explore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31"/>
    <w:bookmarkStart w:id="32" w:name="RQ2"/>
    <w:p>
      <w:pPr>
        <w:pStyle w:val="Heading3"/>
      </w:pPr>
      <w:r>
        <w:rPr>
          <w:rStyle w:val="SectionNumber"/>
        </w:rPr>
        <w:t xml:space="preserve">1.3.2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Sections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w:t>
      </w:r>
      <w:r>
        <w:t xml:space="preserve">established that, as of yet, designers of PIM and personal data interfaces have not yet risen to the sociotechnical challenge of today’s personal data reality: it is scattered, inaccessible and largely</w:t>
      </w:r>
      <w:r>
        <w:t xml:space="preserve"> </w:t>
      </w:r>
      <w:r>
        <w:rPr>
          <w:iCs/>
          <w:i/>
        </w:rPr>
        <w:t xml:space="preserve">un-useable</w:t>
      </w:r>
      <w:hyperlink w:anchor="fn11">
        <w:r>
          <w:rPr>
            <w:rStyle w:val="Hyperlink"/>
          </w:rPr>
          <w:t xml:space="preserve">11</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and digital life complexity? If your data is used in ways you do not understand or consent to, how does this affect your outlook on the world?</w:t>
      </w:r>
    </w:p>
    <w:p>
      <w:pPr>
        <w:pStyle w:val="BodyText"/>
      </w:pPr>
      <w:r>
        <w:t xml:space="preserve">This is the second strand of research to be explored: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the focus will only be upon service relationships (the primary place where data is held), not social or interpersonal relationships.</w:t>
      </w:r>
    </w:p>
    <w:p>
      <w:pPr>
        <w:pStyle w:val="BodyText"/>
      </w:pPr>
      <w:r>
        <w:t xml:space="preserve">To tackle RQ2, participatory research approaches are again appropriate, as the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rather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the participatory research seeks to understand both perspectives: that of the data controller and that of the data subject, and where possible both parties together will be engaged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but also to take a step back and look at the wider social context the individual is operating within, so that we might be better placed to answer RQ2.</w:t>
      </w:r>
    </w:p>
    <w:bookmarkEnd w:id="32"/>
    <w:bookmarkStart w:id="33" w:name="X0b07266f33ba3fed727bda8a88e096f809934b8"/>
    <w:p>
      <w:pPr>
        <w:pStyle w:val="Heading3"/>
      </w:pPr>
      <w:r>
        <w:rPr>
          <w:rStyle w:val="SectionNumber"/>
        </w:rPr>
        <w:t xml:space="preserve">1.3.3</w:t>
      </w:r>
      <w:r>
        <w:tab/>
      </w:r>
      <w:r>
        <w:t xml:space="preserve">Practical Embedded Research: Going beyond the original RQs</w:t>
      </w:r>
    </w:p>
    <w:p>
      <w:pPr>
        <w:pStyle w:val="FirstParagraph"/>
      </w:pPr>
      <w:r>
        <w:t xml:space="preserve">While the Case Studies have the potential to uncover theoretical answers to RQ1 and RQ2, the parallel embedded project activities of this PhD presented the author with an opportunity to build a thesis offering more than just a theoretical expression of people’s needs. By applying the learnings of the thesis in embedded project contexts, which are described in the</w:t>
      </w:r>
      <w:r>
        <w:t xml:space="preserve"> </w:t>
      </w:r>
      <w:hyperlink w:anchor="section-iv-embedded-project-settings">
        <w:r>
          <w:rPr>
            <w:rStyle w:val="Hyperlink"/>
          </w:rPr>
          <w:t xml:space="preserve">introduction to Section IV</w:t>
        </w:r>
      </w:hyperlink>
      <w:r>
        <w:t xml:space="preserve">, the primary research question of what relationship people want with their data can be explored in a real-world, practical sense. The embedded project work presents the opportunity to explore how individuals and groups might be able to take action to help change the world into the one they want, how these desired improved data relationships might be realised. In</w:t>
      </w:r>
      <w:r>
        <w:t xml:space="preserve"> </w:t>
      </w:r>
      <w:hyperlink w:anchor="section-iii">
        <w:r>
          <w:rPr>
            <w:rStyle w:val="Hyperlink"/>
          </w:rPr>
          <w:t xml:space="preserve">Section III</w:t>
        </w:r>
      </w:hyperlink>
      <w:r>
        <w:t xml:space="preserve">, an</w:t>
      </w:r>
      <w:r>
        <w:t xml:space="preserve"> </w:t>
      </w:r>
      <w:hyperlink w:anchor="exRQ">
        <w:r>
          <w:rPr>
            <w:rStyle w:val="Hyperlink"/>
          </w:rPr>
          <w:t xml:space="preserve">extended RQ</w:t>
        </w:r>
      </w:hyperlink>
      <w:r>
        <w:t xml:space="preserve"> </w:t>
      </w:r>
      <w:r>
        <w:t xml:space="preserve">is expressed, which is the focus of the embedded research track of the PhD. The practical exploration of this research question is documented in</w:t>
      </w:r>
      <w:r>
        <w:t xml:space="preserve"> </w:t>
      </w:r>
      <w:hyperlink w:anchor="section-iv">
        <w:r>
          <w:rPr>
            <w:rStyle w:val="Hyperlink"/>
          </w:rPr>
          <w:t xml:space="preserve">Section IV</w:t>
        </w:r>
      </w:hyperlink>
      <w:r>
        <w:t xml:space="preserve">. Methodologies for the embedded projects were not under the control of this researcher and therefore are not documented in this thesis, except where they form part of or contribute to the insights and learning acquired.</w:t>
      </w:r>
    </w:p>
    <w:bookmarkEnd w:id="33"/>
    <w:bookmarkEnd w:id="34"/>
    <w:bookmarkStart w:id="79" w:name="X23a602910dc8852626969ed2cab4934b4ae5d5b"/>
    <w:p>
      <w:pPr>
        <w:pStyle w:val="Heading2"/>
      </w:pPr>
      <w:r>
        <w:rPr>
          <w:rStyle w:val="SectionNumber"/>
        </w:rPr>
        <w:t xml:space="preserve">1.4</w:t>
      </w:r>
      <w:r>
        <w:tab/>
      </w:r>
      <w:r>
        <w:t xml:space="preserve">Methodologies Employed in Case Studies</w:t>
      </w:r>
    </w:p>
    <w:p>
      <w:pPr>
        <w:pStyle w:val="FirstParagraph"/>
      </w:pPr>
      <w:r>
        <w:t xml:space="preserve">This section will describe the methods used across the Case Studies within the participatory track, along with rationales as to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These five planned stages will be explained using examples and illustrations taken from the actual execution of these methods within the Case Studies. Information about recruitment and ethics follows at the end of this section.</w:t>
      </w:r>
    </w:p>
    <w:bookmarkStart w:id="44" w:name="X2aae5955584904bc2d13eabc3cf07107b276398"/>
    <w:p>
      <w:pPr>
        <w:pStyle w:val="Heading3"/>
      </w:pPr>
      <w:r>
        <w:rPr>
          <w:rStyle w:val="SectionNumber"/>
        </w:rPr>
        <w:t xml:space="preserve">1.4.1</w:t>
      </w:r>
      <w:r>
        <w:tab/>
      </w:r>
      <w:r>
        <w:t xml:space="preserve">Sensitisation of Researcher and Participants</w:t>
      </w:r>
    </w:p>
    <w:p>
      <w:pPr>
        <w:pStyle w:val="CaptionedFigure"/>
      </w:pPr>
      <w:r>
        <w:drawing>
          <wp:inline>
            <wp:extent cx="5334000" cy="3130900"/>
            <wp:effectExtent b="0" l="0" r="0" t="0"/>
            <wp:docPr descr="Figure 3.3: Family Facts - What is Data?" title="" id="36" name="Picture"/>
            <a:graphic>
              <a:graphicData uri="http://schemas.openxmlformats.org/drawingml/2006/picture">
                <pic:pic>
                  <pic:nvPicPr>
                    <pic:cNvPr descr="./src/figs/fig3.3-family-facts.jpg" id="37" name="Picture"/>
                    <pic:cNvPicPr>
                      <a:picLocks noChangeArrowheads="1" noChangeAspect="1"/>
                    </pic:cNvPicPr>
                  </pic:nvPicPr>
                  <pic:blipFill>
                    <a:blip r:embed="rId35"/>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3.3: Family Facts - What is Data?</w:t>
      </w:r>
    </w:p>
    <w:p>
      <w:pPr>
        <w:pStyle w:val="CaptionedFigure"/>
      </w:pPr>
      <w:r>
        <w:drawing>
          <wp:inline>
            <wp:extent cx="5334000" cy="3075766"/>
            <wp:effectExtent b="0" l="0" r="0" t="0"/>
            <wp:docPr descr="Figure 3.4: Walls of Data - Sensitising Participants to the World of Commercially-held Data and GDPR" title="" id="39" name="Picture"/>
            <a:graphic>
              <a:graphicData uri="http://schemas.openxmlformats.org/drawingml/2006/picture">
                <pic:pic>
                  <pic:nvPicPr>
                    <pic:cNvPr descr="./src/figs/fig3.4-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3.4: Walls of Data - Sensitising Participants to the World of Commercially-held Data and GDPR</w:t>
      </w:r>
    </w:p>
    <w:p>
      <w:pPr>
        <w:pStyle w:val="CaptionedFigure"/>
      </w:pPr>
      <w:r>
        <w:drawing>
          <wp:inline>
            <wp:extent cx="5334000" cy="3556000"/>
            <wp:effectExtent b="0" l="0" r="0" t="0"/>
            <wp:docPr descr="Figure 3.5: Sentence Ranking - Bringing Support Workers and Families to a Shared Problem Space" title="" id="42" name="Picture"/>
            <a:graphic>
              <a:graphicData uri="http://schemas.openxmlformats.org/drawingml/2006/picture">
                <pic:pic>
                  <pic:nvPicPr>
                    <pic:cNvPr descr="./src/figs/fig3.5-sentence-ranking.jpg" id="43"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3.5: Sentence Ranking - Bringing Support Workers and Families to a Shared Problem Space</w:t>
      </w:r>
    </w:p>
    <w:p>
      <w:pPr>
        <w:pStyle w:val="BodyText"/>
      </w:pPr>
      <w:r>
        <w:t xml:space="preserve">As described in</w:t>
      </w:r>
      <w:r>
        <w:t xml:space="preserve"> </w:t>
      </w:r>
      <w:hyperlink w:anchor="X98d4ef3e7a6039ddbf0f888a2fd1c5243f7318b">
        <w:r>
          <w:rPr>
            <w:rStyle w:val="Hyperlink"/>
          </w:rPr>
          <w:t xml:space="preserve">3.2.1</w:t>
        </w:r>
      </w:hyperlink>
      <w:r>
        <w:t xml:space="preserve">, an important first step before each research activity is to</w:t>
      </w:r>
      <w:r>
        <w:t xml:space="preserve"> </w:t>
      </w:r>
      <w:r>
        <w:rPr>
          <w:iCs/>
          <w:i/>
        </w:rPr>
        <w:t xml:space="preserve">sensitise</w:t>
      </w:r>
      <w:r>
        <w:t xml:space="preserve"> </w:t>
      </w:r>
      <w:r>
        <w:t xml:space="preserve">oneself as researcher to the context, which means to become familiar with relevant issues, systems and practices and increase empathy for the participants. In the pilot study [</w:t>
      </w:r>
      <w:hyperlink w:anchor="Xb367cc24dc19d310f9af1157021067beef77465">
        <w:r>
          <w:rPr>
            <w:rStyle w:val="Hyperlink"/>
          </w:rPr>
          <w:t xml:space="preserve">4.2.2</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w:t>
      </w:r>
      <w:hyperlink w:anchor="Xcefc2f8651dab1dca3f5569d5c8495d75f8956a">
        <w:r>
          <w:rPr>
            <w:rStyle w:val="Hyperlink"/>
          </w:rPr>
          <w:t xml:space="preserve">1.3.1</w:t>
        </w:r>
      </w:hyperlink>
      <w:r>
        <w:t xml:space="preserve">] combined with this to serve as researcher sensitisation for Case Study One, as participating families had had some contact with the care system. This increased empathy for, and understanding of, supported family perspectives. Working with support workers through the SILVER project also provided empathy for the data needs of staff within the care service. In Case Study Two, self-experiments with GDPR as well as researching privacy policies and GDPR rights provided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it was considered that data could be a hard topic for families to engage with, so the</w:t>
      </w:r>
      <w:r>
        <w:t xml:space="preserve"> </w:t>
      </w:r>
      <w:r>
        <w:rPr>
          <w:iCs/>
          <w:i/>
        </w:rPr>
        <w:t xml:space="preserve">Family Facts</w:t>
      </w:r>
      <w:r>
        <w:t xml:space="preserve"> </w:t>
      </w:r>
      <w:r>
        <w:t xml:space="preserve">activity [</w:t>
      </w:r>
      <w:hyperlink w:anchor="figure-3.3">
        <w:r>
          <w:rPr>
            <w:rStyle w:val="Hyperlink"/>
          </w:rPr>
          <w:t xml:space="preserve">Figure 3.3</w:t>
        </w:r>
      </w:hyperlink>
      <w:r>
        <w:t xml:space="preserve">] was designed. This required family members to consider simple facts about their lives (some provided, some created by them)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there was a goal to get participants to think about the data involved in their everyday lives, especially that stored by commercial service providers. So, using a series of posters in the researcher’s lab common room were put up. These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4">
        <w:r>
          <w:rPr>
            <w:rStyle w:val="Hyperlink"/>
          </w:rPr>
          <w:t xml:space="preserve">Figure 3.4</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5">
        <w:r>
          <w:rPr>
            <w:rStyle w:val="Hyperlink"/>
          </w:rPr>
          <w:t xml:space="preserve">Figure 3.5</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validation of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4"/>
    <w:bookmarkStart w:id="54" w:name="Xbc954f986ea78ee55f14e1ee288f60983e46fb5"/>
    <w:p>
      <w:pPr>
        <w:pStyle w:val="Heading3"/>
      </w:pPr>
      <w:r>
        <w:rPr>
          <w:rStyle w:val="SectionNumber"/>
        </w:rPr>
        <w:t xml:space="preserve">1.4.2</w:t>
      </w:r>
      <w:r>
        <w:tab/>
      </w:r>
      <w:r>
        <w:t xml:space="preserve">Discussion and Exploration with Stimuli</w:t>
      </w:r>
    </w:p>
    <w:p>
      <w:pPr>
        <w:pStyle w:val="CaptionedFigure"/>
      </w:pPr>
      <w:r>
        <w:drawing>
          <wp:inline>
            <wp:extent cx="5334000" cy="4095247"/>
            <wp:effectExtent b="0" l="0" r="0" t="0"/>
            <wp:docPr descr="Figure 3.6: Family Civic Data Cards - Things to Think With" title="" id="46" name="Picture"/>
            <a:graphic>
              <a:graphicData uri="http://schemas.openxmlformats.org/drawingml/2006/picture">
                <pic:pic>
                  <pic:nvPicPr>
                    <pic:cNvPr descr="./src/figs/fig3.6-data-cards.jpg" id="47" name="Picture"/>
                    <pic:cNvPicPr>
                      <a:picLocks noChangeArrowheads="1" noChangeAspect="1"/>
                    </pic:cNvPicPr>
                  </pic:nvPicPr>
                  <pic:blipFill>
                    <a:blip r:embed="rId45"/>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3.6: Family Civic Data Cards - Things to Think With</w:t>
      </w:r>
    </w:p>
    <w:p>
      <w:pPr>
        <w:pStyle w:val="CaptionedFigure"/>
      </w:pPr>
      <w:r>
        <w:drawing>
          <wp:inline>
            <wp:extent cx="5334000" cy="3000375"/>
            <wp:effectExtent b="0" l="0" r="0" t="0"/>
            <wp:docPr descr="Figure 3.7: Personal Data Examples - Making Data Relatable" title="" id="49" name="Picture"/>
            <a:graphic>
              <a:graphicData uri="http://schemas.openxmlformats.org/drawingml/2006/picture">
                <pic:pic>
                  <pic:nvPicPr>
                    <pic:cNvPr descr="./src/figs/fig3.7-personal-data-examples.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3.7: Personal Data Examples - Making Data Relatable</w:t>
      </w:r>
    </w:p>
    <w:p>
      <w:pPr>
        <w:pStyle w:val="CaptionedFigure"/>
      </w:pPr>
      <w:r>
        <w:drawing>
          <wp:inline>
            <wp:extent cx="5334000" cy="4754217"/>
            <wp:effectExtent b="0" l="0" r="0" t="0"/>
            <wp:docPr descr="Figure 3.8: Home Interviewing: Card Sorting with a Family in Their Living Room" title="" id="52" name="Picture"/>
            <a:graphic>
              <a:graphicData uri="http://schemas.openxmlformats.org/drawingml/2006/picture">
                <pic:pic>
                  <pic:nvPicPr>
                    <pic:cNvPr descr="./src/figs/fig3.8-home-visit.jpg" id="53" name="Picture"/>
                    <pic:cNvPicPr>
                      <a:picLocks noChangeArrowheads="1" noChangeAspect="1"/>
                    </pic:cNvPicPr>
                  </pic:nvPicPr>
                  <pic:blipFill>
                    <a:blip r:embed="rId5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3.8: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this research seeks to uncover individual perspectives and worldviews. The primary method used in both Case Studies was traditional qualitative interviewing - talking to people about the topic being explored. In Case Study Two, this was largely done on 1-on-1 basis (largely because of the sensitivity of dealing with one’s own personal data, and because it allowed the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This proved particularly insightful when observing intergenerational conversations between family members in the pilot study [</w:t>
      </w:r>
      <w:hyperlink w:anchor="Xb367cc24dc19d310f9af1157021067beef77465">
        <w:r>
          <w:rPr>
            <w:rStyle w:val="Hyperlink"/>
          </w:rPr>
          <w:t xml:space="preserve">4.2.2</w:t>
        </w:r>
      </w:hyperlink>
      <w:r>
        <w:t xml:space="preserve">]. In Case Study One, it allowed the negotiation of a</w:t>
      </w:r>
      <w:r>
        <w:t xml:space="preserve"> </w:t>
      </w:r>
      <w:r>
        <w:t xml:space="preserve">‘</w:t>
      </w:r>
      <w:r>
        <w:t xml:space="preserve">middle ground</w:t>
      </w:r>
      <w:r>
        <w:t xml:space="preserve">’</w:t>
      </w:r>
      <w:r>
        <w:t xml:space="preserve"> </w:t>
      </w:r>
      <w:r>
        <w:t xml:space="preserve">between support workers and supported families to be observed. In some cases, such as the home visits in the pilot study and local authority visits for SILVER, the researcher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Motivated by a desire to go beyond</w:t>
      </w:r>
      <w:r>
        <w:t xml:space="preserve"> </w:t>
      </w:r>
      <w:r>
        <w:t xml:space="preserve">‘</w:t>
      </w:r>
      <w:r>
        <w:t xml:space="preserve">just talking</w:t>
      </w:r>
      <w:r>
        <w:t xml:space="preserve">’</w:t>
      </w:r>
      <w:r>
        <w:t xml:space="preserve"> </w:t>
      </w:r>
      <w:r>
        <w:t xml:space="preserve">to achieve a deeper and more detail-oriented conversation, the decision was made to produce suitable stimuli to seed and progress each discussion. Given the abstract nature of the topic of data, it does not always carry a clear meaning in people’s everyday lives, so the stimuli needed to make the topic vivid and real. Building on the aforementioned researcher sensitisation, a taxonomy and lexicon for Family Civic Data was created, and</w:t>
      </w:r>
      <w:r>
        <w:t xml:space="preserve"> </w:t>
      </w:r>
      <w:r>
        <w:rPr>
          <w:iCs/>
          <w:i/>
        </w:rPr>
        <w:t xml:space="preserve">Family Civic Data Cards</w:t>
      </w:r>
      <w:r>
        <w:t xml:space="preserve"> </w:t>
      </w:r>
      <w:r>
        <w:t xml:space="preserve">[</w:t>
      </w:r>
      <w:hyperlink w:anchor="figure-3.6">
        <w:r>
          <w:rPr>
            <w:rStyle w:val="Hyperlink"/>
          </w:rPr>
          <w:t xml:space="preserve">Figure 3.6</w:t>
        </w:r>
      </w:hyperlink>
      <w:r>
        <w:t xml:space="preserve">] were constructed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An approach of using tangible artefacts is valuable for situating legal and ethical discussions in context, by providing some concrete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facilitating reflection and discussion. Similar card-based approaches have been used by other researchers with success, such as Mora’s Tiles IoT cards</w:t>
      </w:r>
      <w:r>
        <w:t xml:space="preserve"> </w:t>
      </w:r>
      <w:r>
        <w:t xml:space="preserve">(</w:t>
      </w:r>
      <w:hyperlink w:anchor="ref-mora2017">
        <w:r>
          <w:rPr>
            <w:rStyle w:val="Hyperlink"/>
          </w:rPr>
          <w:t xml:space="preserve">Mora, Gianni and Divitini, 2017</w:t>
        </w:r>
      </w:hyperlink>
      <w:r>
        <w:t xml:space="preserve">)</w:t>
      </w:r>
      <w:r>
        <w:t xml:space="preserve">, Lane’s Unbias Awareness Cards</w:t>
      </w:r>
      <w:r>
        <w:t xml:space="preserve"> </w:t>
      </w:r>
      <w:r>
        <w:t xml:space="preserve">(</w:t>
      </w:r>
      <w:hyperlink w:anchor="ref-lane2018">
        <w:r>
          <w:rPr>
            <w:rStyle w:val="Hyperlink"/>
          </w:rPr>
          <w:t xml:space="preserve">Koene</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Urquhart’s Moral IT Deck</w:t>
      </w:r>
      <w:r>
        <w:t xml:space="preserve"> </w:t>
      </w:r>
      <w:r>
        <w:t xml:space="preserve">(</w:t>
      </w:r>
      <w:hyperlink w:anchor="ref-urquhart2021">
        <w:r>
          <w:rPr>
            <w:rStyle w:val="Hyperlink"/>
          </w:rPr>
          <w:t xml:space="preserve">D. Urquhart and J. Craigon, 2021</w:t>
        </w:r>
      </w:hyperlink>
      <w:r>
        <w:t xml:space="preserve">)</w:t>
      </w:r>
      <w:r>
        <w:t xml:space="preserve">.</w:t>
      </w:r>
    </w:p>
    <w:p>
      <w:pPr>
        <w:pStyle w:val="BodyText"/>
      </w:pPr>
      <w:r>
        <w:t xml:space="preserve">More generally,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8">
        <w:r>
          <w:rPr>
            <w:rStyle w:val="Hyperlink"/>
          </w:rPr>
          <w:t xml:space="preserve">Figure 3.8</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In Case Study Two, discussions around data did not use data cards, but the importance of meaningful examples to make the topic relatable persisted, in this case being demonstrated through posters [</w:t>
      </w:r>
      <w:hyperlink w:anchor="X2aae5955584904bc2d13eabc3cf07107b276398">
        <w:r>
          <w:rPr>
            <w:rStyle w:val="Hyperlink"/>
          </w:rPr>
          <w:t xml:space="preserve">3.4.1</w:t>
        </w:r>
      </w:hyperlink>
      <w:r>
        <w:t xml:space="preserve">] and in particular a categorisation of example data by category [</w:t>
      </w:r>
      <w:hyperlink w:anchor="figure-3.7">
        <w:r>
          <w:rPr>
            <w:rStyle w:val="Hyperlink"/>
          </w:rPr>
          <w:t xml:space="preserve">Figure 3.7</w:t>
        </w:r>
      </w:hyperlink>
      <w:r>
        <w:t xml:space="preserve">], similar to the examples on Case Study One’s data cards. Within the BBC R&amp;D placement, data cards pertaining to held personal data types and actions were subsequently developed for use in participatory research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4"/>
    <w:bookmarkStart w:id="64" w:name="X3d49915eae53800c735cfc0f01c21a9d05e727a"/>
    <w:p>
      <w:pPr>
        <w:pStyle w:val="Heading3"/>
      </w:pPr>
      <w:r>
        <w:rPr>
          <w:rStyle w:val="SectionNumber"/>
        </w:rPr>
        <w:t xml:space="preserve">1.4.3</w:t>
      </w:r>
      <w:r>
        <w:tab/>
      </w:r>
      <w:r>
        <w:t xml:space="preserve">Participatory Co-Design of Possible Solutions</w:t>
      </w:r>
    </w:p>
    <w:p>
      <w:pPr>
        <w:pStyle w:val="CaptionedFigure"/>
      </w:pPr>
      <w:r>
        <w:drawing>
          <wp:inline>
            <wp:extent cx="5334000" cy="4825409"/>
            <wp:effectExtent b="0" l="0" r="0" t="0"/>
            <wp:docPr descr="Figure 3.9: Ideation Decks - Combining Random Design Ingredients to Generate New Ideas" title="" id="56" name="Picture"/>
            <a:graphic>
              <a:graphicData uri="http://schemas.openxmlformats.org/drawingml/2006/picture">
                <pic:pic>
                  <pic:nvPicPr>
                    <pic:cNvPr descr="./src/figs/fig3.9-ideation-grid.jpg" id="57" name="Picture"/>
                    <pic:cNvPicPr>
                      <a:picLocks noChangeArrowheads="1" noChangeAspect="1"/>
                    </pic:cNvPicPr>
                  </pic:nvPicPr>
                  <pic:blipFill>
                    <a:blip r:embed="rId5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3.9: Ideation Decks - Combining Random Design Ingredients to Generate New Ideas</w:t>
      </w:r>
    </w:p>
    <w:p>
      <w:pPr>
        <w:pStyle w:val="CaptionedFigure"/>
      </w:pPr>
      <w:r>
        <w:drawing>
          <wp:inline>
            <wp:extent cx="5334000" cy="7539571"/>
            <wp:effectExtent b="0" l="0" r="0" t="0"/>
            <wp:docPr descr="Figure 3.10: Group Poster Design - A Participant-designed Poster to Advertise Features of Imagined Data Interface Products" title="" id="59" name="Picture"/>
            <a:graphic>
              <a:graphicData uri="http://schemas.openxmlformats.org/drawingml/2006/picture">
                <pic:pic>
                  <pic:nvPicPr>
                    <pic:cNvPr descr="./src/figs/fig3.10-poster.jpg" id="60" name="Picture"/>
                    <pic:cNvPicPr>
                      <a:picLocks noChangeArrowheads="1" noChangeAspect="1"/>
                    </pic:cNvPicPr>
                  </pic:nvPicPr>
                  <pic:blipFill>
                    <a:blip r:embed="rId58"/>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3.10: Group Poster Design - A Participant-designed Poster to Advertise Features of Imagined Data Interface Products</w:t>
      </w:r>
    </w:p>
    <w:p>
      <w:pPr>
        <w:pStyle w:val="CaptionedFigure"/>
      </w:pPr>
      <w:r>
        <w:drawing>
          <wp:inline>
            <wp:extent cx="5334000" cy="1840685"/>
            <wp:effectExtent b="0" l="0" r="0" t="0"/>
            <wp:docPr descr="Figure 3.11: Storyboarding Action Cards - A Collaboratively-constructed Narrative Created through Discussion from a Palette of Possible Parent and Staff Actions" title="" id="62" name="Picture"/>
            <a:graphic>
              <a:graphicData uri="http://schemas.openxmlformats.org/drawingml/2006/picture">
                <pic:pic>
                  <pic:nvPicPr>
                    <pic:cNvPr descr="./src/figs/fig3.11-storyboarding-card-strip.jpg" id="63" name="Picture"/>
                    <pic:cNvPicPr>
                      <a:picLocks noChangeArrowheads="1" noChangeAspect="1"/>
                    </pic:cNvPicPr>
                  </pic:nvPicPr>
                  <pic:blipFill>
                    <a:blip r:embed="rId61"/>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3.11: Storyboarding Action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3.9</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10">
        <w:r>
          <w:rPr>
            <w:rStyle w:val="Hyperlink"/>
          </w:rPr>
          <w:t xml:space="preserve">Figure 3.10</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a</w:t>
      </w:r>
      <w:r>
        <w:t xml:space="preserve"> </w:t>
      </w:r>
      <w:r>
        <w:rPr>
          <w:iCs/>
          <w:i/>
        </w:rPr>
        <w:t xml:space="preserve">storyboarding</w:t>
      </w:r>
      <w:r>
        <w:t xml:space="preserve"> </w:t>
      </w:r>
      <w:r>
        <w:t xml:space="preserve">activity was designed.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a card-based approach to storyboarding was used. Participants selected actions from a palette of action cards representing different possible human or data interaction possibilities and annotated these with specific details. These cards are shown in</w:t>
      </w:r>
      <w:r>
        <w:t xml:space="preserve"> </w:t>
      </w:r>
      <w:hyperlink w:anchor="figure-3.11">
        <w:r>
          <w:rPr>
            <w:rStyle w:val="Hyperlink"/>
          </w:rPr>
          <w:t xml:space="preserve">Figure 3.11</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64"/>
    <w:bookmarkStart w:id="71" w:name="X8521792e123691f48a1df559885c477069c6c1d"/>
    <w:p>
      <w:pPr>
        <w:pStyle w:val="Heading3"/>
      </w:pPr>
      <w:r>
        <w:rPr>
          <w:rStyle w:val="SectionNumber"/>
        </w:rPr>
        <w:t xml:space="preserve">1.4.4</w:t>
      </w:r>
      <w:r>
        <w:tab/>
      </w:r>
      <w:r>
        <w:t xml:space="preserve">Data Analysis</w:t>
      </w:r>
    </w:p>
    <w:p>
      <w:pPr>
        <w:pStyle w:val="CaptionedFigure"/>
      </w:pPr>
      <w:r>
        <w:drawing>
          <wp:inline>
            <wp:extent cx="5334000" cy="3070835"/>
            <wp:effectExtent b="0" l="0" r="0" t="0"/>
            <wp:docPr descr="Figure 3.12: Thematic Analysis of Qualitative Data using Quirkos for Case Study One" title="" id="66" name="Picture"/>
            <a:graphic>
              <a:graphicData uri="http://schemas.openxmlformats.org/drawingml/2006/picture">
                <pic:pic>
                  <pic:nvPicPr>
                    <pic:cNvPr descr="./src/figs/fig3.12-thematic-analysis.png" id="67" name="Picture"/>
                    <pic:cNvPicPr>
                      <a:picLocks noChangeArrowheads="1" noChangeAspect="1"/>
                    </pic:cNvPicPr>
                  </pic:nvPicPr>
                  <pic:blipFill>
                    <a:blip r:embed="rId65"/>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3.12: Thematic Analysis of Qualitative Data using Quirkos for Case Study One</w:t>
      </w:r>
    </w:p>
    <w:p>
      <w:pPr>
        <w:pStyle w:val="CaptionedFigure"/>
      </w:pPr>
      <w:r>
        <w:drawing>
          <wp:inline>
            <wp:extent cx="5334000" cy="2544660"/>
            <wp:effectExtent b="0" l="0" r="0" t="0"/>
            <wp:docPr descr="Figure 3.13: Spreadsheet-based Quantitative Analysis of Interview Data for Case Study Two" title="" id="69" name="Picture"/>
            <a:graphic>
              <a:graphicData uri="http://schemas.openxmlformats.org/drawingml/2006/picture">
                <pic:pic>
                  <pic:nvPicPr>
                    <pic:cNvPr descr="./src/figs/fig3.13-quant-analysis.png" id="70" name="Picture"/>
                    <pic:cNvPicPr>
                      <a:picLocks noChangeArrowheads="1" noChangeAspect="1"/>
                    </pic:cNvPicPr>
                  </pic:nvPicPr>
                  <pic:blipFill>
                    <a:blip r:embed="rId68"/>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3.13: Spreadsheet-based Quantitative Analysis of Interview Data for Case Study Two</w:t>
      </w:r>
    </w:p>
    <w:p>
      <w:pPr>
        <w:pStyle w:val="BodyText"/>
      </w:pPr>
      <w:r>
        <w:t xml:space="preserve">In order to find common viewpoints and extract insights from the many participatory activities conducted in Case Study One and Two, the qualitative data needed analysis.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here their sole purpose was to provide additional context for understanding conversation transcripts.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w:t>
      </w:r>
      <w:r>
        <w:t xml:space="preserve"> </w:t>
      </w:r>
      <w:r>
        <w:rPr>
          <w:iCs/>
          <w:i/>
        </w:rPr>
        <w:t xml:space="preserve">Quirkos</w:t>
      </w:r>
      <w:r>
        <w:t xml:space="preserve"> </w:t>
      </w:r>
      <w:r>
        <w:t xml:space="preserve">software was selected for this purpose, as shown in</w:t>
      </w:r>
      <w:r>
        <w:t xml:space="preserve"> </w:t>
      </w:r>
      <w:hyperlink w:anchor="figure-3.12">
        <w:r>
          <w:rPr>
            <w:rStyle w:val="Hyperlink"/>
          </w:rPr>
          <w:t xml:space="preserve">Figure 3.12</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3">
        <w:r>
          <w:rPr>
            <w:rStyle w:val="Hyperlink"/>
          </w:rPr>
          <w:t xml:space="preserve">Figure 3.13</w:t>
        </w:r>
      </w:hyperlink>
      <w:r>
        <w:t xml:space="preserve">. Due to the qualitative focus of the research, participant numbers were too low to seek statistically significant findings, so all quantitative findings are not intended to be representative of any population at large.</w:t>
      </w:r>
    </w:p>
    <w:bookmarkEnd w:id="71"/>
    <w:bookmarkStart w:id="77" w:name="X7fc6bde7dbf4cb2d89ab4b2bd57e166ce750ec0"/>
    <w:p>
      <w:pPr>
        <w:pStyle w:val="Heading3"/>
      </w:pPr>
      <w:r>
        <w:rPr>
          <w:rStyle w:val="SectionNumber"/>
        </w:rPr>
        <w:t xml:space="preserve">1.4.5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jc w:val="start"/>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4">
        <w:r>
          <w:rPr>
            <w:rStyle w:val="Hyperlink"/>
          </w:rPr>
          <w:t xml:space="preserve">Figure 3.14</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the researcher worked with two local authorities, Newcastle City Council and North Tyneside Council, who were partners on the SILVER project. These authorities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3.14: Recruitment Poster - Poster Used to Recruit Participants for Pilot Study" title="" id="73" name="Picture"/>
            <a:graphic>
              <a:graphicData uri="http://schemas.openxmlformats.org/drawingml/2006/picture">
                <pic:pic>
                  <pic:nvPicPr>
                    <pic:cNvPr descr="./src/figs/fig3.14-recruitment-poster.png" id="74" name="Picture"/>
                    <pic:cNvPicPr>
                      <a:picLocks noChangeArrowheads="1" noChangeAspect="1"/>
                    </pic:cNvPicPr>
                  </pic:nvPicPr>
                  <pic:blipFill>
                    <a:blip r:embed="rId72"/>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3.14: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jc w:val="start"/>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75"/>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76"/>
      </w:r>
      <w:r>
        <w:t xml:space="preserve"> </w:t>
      </w:r>
      <w:r>
        <w:t xml:space="preserve">for both case studies, participants were compensated for their time with vouchers—either online/offline shopping vouchers or vouchers for a family day out.</w:t>
      </w:r>
    </w:p>
    <w:bookmarkEnd w:id="77"/>
    <w:bookmarkStart w:id="78" w:name="X296d4732b242d110df8dee2fc52e75587f5910b"/>
    <w:p>
      <w:pPr>
        <w:pStyle w:val="Heading3"/>
      </w:pPr>
      <w:r>
        <w:rPr>
          <w:rStyle w:val="SectionNumber"/>
        </w:rPr>
        <w:t xml:space="preserve">1.4.6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78"/>
    <w:bookmarkEnd w:id="79"/>
    <w:bookmarkStart w:id="80" w:name="X3e66c166813c6ccb5819daf234787040c248650"/>
    <w:p>
      <w:pPr>
        <w:pStyle w:val="Heading2"/>
      </w:pPr>
      <w:r>
        <w:rPr>
          <w:rStyle w:val="SectionNumber"/>
        </w:rPr>
        <w:t xml:space="preserve">1.5</w:t>
      </w:r>
      <w:r>
        <w:tab/>
      </w:r>
      <w:r>
        <w:t xml:space="preserve">Summation: Towards an Understanding of Better Data Relations</w:t>
      </w:r>
    </w:p>
    <w:p>
      <w:pPr>
        <w:pStyle w:val="FirstParagraph"/>
      </w:pPr>
      <w:r>
        <w:t xml:space="preserve">As Section I concludes, we have now established the background and motivation to this PhD research, and explained the approach to be used - a two track research endeavour examining both participant attitudes and pragmatic sociotechnical realities.</w:t>
      </w:r>
      <w:r>
        <w:t xml:space="preserve"> </w:t>
      </w:r>
      <w:hyperlink w:anchor="section-ii">
        <w:r>
          <w:rPr>
            <w:rStyle w:val="Hyperlink"/>
          </w:rPr>
          <w:t xml:space="preserve">Section II</w:t>
        </w:r>
      </w:hyperlink>
      <w:r>
        <w:t xml:space="preserve"> </w:t>
      </w:r>
      <w:r>
        <w:t xml:space="preserve">will describe the participatory research track that seeks to answer RQ1 [</w:t>
      </w:r>
      <w:hyperlink w:anchor="RQ1">
        <w:r>
          <w:rPr>
            <w:rStyle w:val="Hyperlink"/>
          </w:rPr>
          <w:t xml:space="preserve">3.3.1</w:t>
        </w:r>
      </w:hyperlink>
      <w:r>
        <w:t xml:space="preserve">] and RQ2 [</w:t>
      </w:r>
      <w:hyperlink w:anchor="RQ2">
        <w:r>
          <w:rPr>
            <w:rStyle w:val="Hyperlink"/>
          </w:rPr>
          <w:t xml:space="preserve">3.3.2</w:t>
        </w:r>
      </w:hyperlink>
      <w:r>
        <w:t xml:space="preserve">].</w:t>
      </w:r>
      <w:r>
        <w:t xml:space="preserve"> </w:t>
      </w:r>
      <w:hyperlink w:anchor="section-iii">
        <w:r>
          <w:rPr>
            <w:rStyle w:val="Hyperlink"/>
          </w:rPr>
          <w:t xml:space="preserve">Section III</w:t>
        </w:r>
      </w:hyperlink>
      <w:r>
        <w:t xml:space="preserve"> </w:t>
      </w:r>
      <w:r>
        <w:t xml:space="preserve">will then synthesise the findings across the two studies to formulate a research agenda for better data relations, the operationalisation of which will be documented, along with the embedded project work track, in</w:t>
      </w:r>
      <w:r>
        <w:t xml:space="preserve"> </w:t>
      </w:r>
      <w:hyperlink w:anchor="section-iv">
        <w:r>
          <w:rPr>
            <w:rStyle w:val="Hyperlink"/>
          </w:rPr>
          <w:t xml:space="preserve">Section IV</w:t>
        </w:r>
      </w:hyperlink>
      <w:r>
        <w:t xml:space="preserve">.</w:t>
      </w:r>
    </w:p>
    <w:p>
      <w:r>
        <w:pict>
          <v:rect style="width:0;height:1.5pt" o:hralign="center" o:hrstd="t" o:hr="t"/>
        </w:pict>
      </w:r>
    </w:p>
    <w:bookmarkEnd w:id="80"/>
    <w:bookmarkEnd w:id="81"/>
    <w:bookmarkStart w:id="177" w:name="bibliography"/>
    <w:p>
      <w:pPr>
        <w:pStyle w:val="Heading1"/>
      </w:pPr>
      <w:r>
        <w:t xml:space="preserve">Bibliography</w:t>
      </w:r>
    </w:p>
    <w:bookmarkStart w:id="176" w:name="refs"/>
    <w:bookmarkStart w:id="8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82">
        <w:r>
          <w:rPr>
            <w:rStyle w:val="Hyperlink"/>
          </w:rPr>
          <w:t xml:space="preserve">https://criticallegalthinking.com/2017/11/17/michel-foucault-discourse/</w:t>
        </w:r>
      </w:hyperlink>
      <w:r>
        <w:t xml:space="preserve"> </w:t>
      </w:r>
      <w:r>
        <w:t xml:space="preserve">(accessed: 7 May 2021).</w:t>
      </w:r>
    </w:p>
    <w:bookmarkEnd w:id="83"/>
    <w:bookmarkStart w:id="8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84"/>
    <w:bookmarkStart w:id="8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85">
        <w:r>
          <w:rPr>
            <w:rStyle w:val="Hyperlink"/>
          </w:rPr>
          <w:t xml:space="preserve">http://www.worldcat.org/title/computers-and-democracy-a-scandinavian-challenge/oclc/614994092?referer=di&amp;ht=edition</w:t>
        </w:r>
      </w:hyperlink>
      <w:r>
        <w:t xml:space="preserve">.</w:t>
      </w:r>
    </w:p>
    <w:bookmarkEnd w:id="86"/>
    <w:bookmarkStart w:id="8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87"/>
    <w:bookmarkStart w:id="8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8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9"/>
    <w:bookmarkStart w:id="9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90">
        <w:r>
          <w:rPr>
            <w:rStyle w:val="Hyperlink"/>
          </w:rPr>
          <w:t xml:space="preserve">10.1145/3173574.3173710</w:t>
        </w:r>
      </w:hyperlink>
      <w:r>
        <w:t xml:space="preserve">.</w:t>
      </w:r>
    </w:p>
    <w:bookmarkEnd w:id="91"/>
    <w:bookmarkStart w:id="93"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92">
        <w:r>
          <w:rPr>
            <w:rStyle w:val="Hyperlink"/>
          </w:rPr>
          <w:t xml:space="preserve">10.1145/1011870.1011885</w:t>
        </w:r>
      </w:hyperlink>
      <w:r>
        <w:t xml:space="preserve">.</w:t>
      </w:r>
    </w:p>
    <w:bookmarkEnd w:id="93"/>
    <w:bookmarkStart w:id="95"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94">
        <w:r>
          <w:rPr>
            <w:rStyle w:val="Hyperlink"/>
          </w:rPr>
          <w:t xml:space="preserve">10.1191/1478088706qp063oa</w:t>
        </w:r>
      </w:hyperlink>
      <w:r>
        <w:t xml:space="preserve">.</w:t>
      </w:r>
    </w:p>
    <w:bookmarkEnd w:id="95"/>
    <w:bookmarkStart w:id="97"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96">
        <w:r>
          <w:rPr>
            <w:rStyle w:val="Hyperlink"/>
          </w:rPr>
          <w:t xml:space="preserve">https://venturebeat.com/2015/03/15/heres-what-fail-fast-really-means/</w:t>
        </w:r>
      </w:hyperlink>
      <w:r>
        <w:t xml:space="preserve">.</w:t>
      </w:r>
    </w:p>
    <w:bookmarkEnd w:id="97"/>
    <w:bookmarkStart w:id="9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98"/>
    <w:bookmarkStart w:id="10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99">
        <w:r>
          <w:rPr>
            <w:rStyle w:val="Hyperlink"/>
          </w:rPr>
          <w:t xml:space="preserve">10.1093/pubmed/fdx125</w:t>
        </w:r>
      </w:hyperlink>
      <w:r>
        <w:t xml:space="preserve">.</w:t>
      </w:r>
    </w:p>
    <w:bookmarkEnd w:id="100"/>
    <w:bookmarkStart w:id="10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01"/>
    <w:bookmarkStart w:id="10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02">
        <w:r>
          <w:rPr>
            <w:rStyle w:val="Hyperlink"/>
          </w:rPr>
          <w:t xml:space="preserve">10.1145/2818048.2819926</w:t>
        </w:r>
      </w:hyperlink>
      <w:r>
        <w:t xml:space="preserve">.</w:t>
      </w:r>
    </w:p>
    <w:bookmarkEnd w:id="103"/>
    <w:bookmarkStart w:id="10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04"/>
    <w:bookmarkStart w:id="10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05"/>
    <w:bookmarkStart w:id="106" w:name="ref-urquhart2021"/>
    <w:p>
      <w:pPr>
        <w:pStyle w:val="Bibliography"/>
      </w:pPr>
      <w:r>
        <w:t xml:space="preserve">D. Urquhart, L. and J. Craigon, P. (2021)</w:t>
      </w:r>
      <w:r>
        <w:t xml:space="preserve"> </w:t>
      </w:r>
      <w:r>
        <w:t xml:space="preserve">‘The moral-IT deck: A tool for ethics by design’</w:t>
      </w:r>
      <w:r>
        <w:t xml:space="preserve">,</w:t>
      </w:r>
      <w:r>
        <w:t xml:space="preserve"> </w:t>
      </w:r>
      <w:r>
        <w:rPr>
          <w:iCs/>
          <w:i/>
        </w:rPr>
        <w:t xml:space="preserve">Journal of Responsible Innovation</w:t>
      </w:r>
      <w:r>
        <w:t xml:space="preserve">. Taylor &amp; Francis, 8(1), pp. 94–126.</w:t>
      </w:r>
    </w:p>
    <w:bookmarkEnd w:id="106"/>
    <w:bookmarkStart w:id="108"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07">
        <w:r>
          <w:rPr>
            <w:rStyle w:val="Hyperlink"/>
          </w:rPr>
          <w:t xml:space="preserve">https://www.designcouncil.org.uk/news-opinion/what-framework-innovation-design-councils-evolved-double-diamond</w:t>
        </w:r>
      </w:hyperlink>
      <w:r>
        <w:t xml:space="preserve"> </w:t>
      </w:r>
      <w:r>
        <w:t xml:space="preserve">(accessed: 20 May 2021).</w:t>
      </w:r>
    </w:p>
    <w:bookmarkEnd w:id="108"/>
    <w:bookmarkStart w:id="109"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09"/>
    <w:bookmarkStart w:id="110"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10"/>
    <w:bookmarkStart w:id="112"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11">
        <w:r>
          <w:rPr>
            <w:rStyle w:val="Hyperlink"/>
          </w:rPr>
          <w:t xml:space="preserve">10.7551/mitpress/8732.003.0007</w:t>
        </w:r>
      </w:hyperlink>
      <w:r>
        <w:t xml:space="preserve">.</w:t>
      </w:r>
    </w:p>
    <w:bookmarkEnd w:id="112"/>
    <w:bookmarkStart w:id="11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13"/>
    <w:bookmarkStart w:id="115"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14">
        <w:r>
          <w:rPr>
            <w:rStyle w:val="Hyperlink"/>
          </w:rPr>
          <w:t xml:space="preserve">https://research-methodology.net/research-philosophy/interpretivism/</w:t>
        </w:r>
      </w:hyperlink>
      <w:r>
        <w:t xml:space="preserve">.</w:t>
      </w:r>
    </w:p>
    <w:bookmarkEnd w:id="115"/>
    <w:bookmarkStart w:id="11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16"/>
    <w:bookmarkStart w:id="118"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17">
        <w:r>
          <w:rPr>
            <w:rStyle w:val="Hyperlink"/>
          </w:rPr>
          <w:t xml:space="preserve">https://williamjamesstudies.org/deweyan-pragmatism/</w:t>
        </w:r>
      </w:hyperlink>
      <w:r>
        <w:t xml:space="preserve">.</w:t>
      </w:r>
    </w:p>
    <w:bookmarkEnd w:id="118"/>
    <w:bookmarkStart w:id="12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19">
        <w:r>
          <w:rPr>
            <w:rStyle w:val="Hyperlink"/>
          </w:rPr>
          <w:t xml:space="preserve">10.1145/1858171.1858189</w:t>
        </w:r>
      </w:hyperlink>
      <w:r>
        <w:t xml:space="preserve">.</w:t>
      </w:r>
    </w:p>
    <w:bookmarkEnd w:id="120"/>
    <w:bookmarkStart w:id="12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21">
        <w:r>
          <w:rPr>
            <w:rStyle w:val="Hyperlink"/>
          </w:rPr>
          <w:t xml:space="preserve">http://www.jstor.org/stable/3340973</w:t>
        </w:r>
      </w:hyperlink>
      <w:r>
        <w:t xml:space="preserve">.</w:t>
      </w:r>
    </w:p>
    <w:bookmarkEnd w:id="122"/>
    <w:bookmarkStart w:id="123"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23"/>
    <w:bookmarkStart w:id="12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24">
        <w:r>
          <w:rPr>
            <w:rStyle w:val="Hyperlink"/>
          </w:rPr>
          <w:t xml:space="preserve">10.1145/1993060.1993065</w:t>
        </w:r>
      </w:hyperlink>
      <w:r>
        <w:t xml:space="preserve">.</w:t>
      </w:r>
    </w:p>
    <w:bookmarkEnd w:id="125"/>
    <w:bookmarkStart w:id="12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26">
        <w:r>
          <w:rPr>
            <w:rStyle w:val="Hyperlink"/>
          </w:rPr>
          <w:t xml:space="preserve">https://web.archive.org/web/20110220013300/http://www.weforum.org/issues/rethinking-personal-data</w:t>
        </w:r>
      </w:hyperlink>
      <w:r>
        <w:t xml:space="preserve">.</w:t>
      </w:r>
    </w:p>
    <w:bookmarkEnd w:id="127"/>
    <w:bookmarkStart w:id="12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28">
        <w:r>
          <w:rPr>
            <w:rStyle w:val="Hyperlink"/>
          </w:rPr>
          <w:t xml:space="preserve">http://www.weforum.org/reports/personal-data-emergence-new-asset-class</w:t>
        </w:r>
      </w:hyperlink>
      <w:r>
        <w:t xml:space="preserve">.</w:t>
      </w:r>
    </w:p>
    <w:bookmarkEnd w:id="129"/>
    <w:bookmarkStart w:id="13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30"/>
    <w:bookmarkStart w:id="13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31">
        <w:r>
          <w:rPr>
            <w:rStyle w:val="Hyperlink"/>
          </w:rPr>
          <w:t xml:space="preserve">http://www3.weforum.org/docs/WEF_RethinkingPersonalData_ANewLens_Report_2014.pdf</w:t>
        </w:r>
      </w:hyperlink>
      <w:r>
        <w:t xml:space="preserve">.</w:t>
      </w:r>
    </w:p>
    <w:bookmarkEnd w:id="132"/>
    <w:bookmarkStart w:id="13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33">
        <w:r>
          <w:rPr>
            <w:rStyle w:val="Hyperlink"/>
          </w:rPr>
          <w:t xml:space="preserve">http://www3.weforum.org/docs/WEF_RethinkingPersonalData_TrustandContext_Report_2014.pdf</w:t>
        </w:r>
      </w:hyperlink>
      <w:r>
        <w:t xml:space="preserve">.</w:t>
      </w:r>
    </w:p>
    <w:bookmarkEnd w:id="134"/>
    <w:bookmarkStart w:id="13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35">
        <w:r>
          <w:rPr>
            <w:rStyle w:val="Hyperlink"/>
          </w:rPr>
          <w:t xml:space="preserve">https://www.britannica.com/topic/Web-20</w:t>
        </w:r>
      </w:hyperlink>
      <w:r>
        <w:t xml:space="preserve"> </w:t>
      </w:r>
      <w:r>
        <w:t xml:space="preserve">(accessed: 26 April 2021).</w:t>
      </w:r>
    </w:p>
    <w:bookmarkEnd w:id="136"/>
    <w:bookmarkStart w:id="13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37"/>
    <w:bookmarkStart w:id="13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38"/>
    <w:bookmarkStart w:id="14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39">
        <w:r>
          <w:rPr>
            <w:rStyle w:val="Hyperlink"/>
          </w:rPr>
          <w:t xml:space="preserve">10.7551/mitpress/9780262036016.003.0012</w:t>
        </w:r>
      </w:hyperlink>
      <w:r>
        <w:t xml:space="preserve">.</w:t>
      </w:r>
    </w:p>
    <w:bookmarkEnd w:id="140"/>
    <w:bookmarkStart w:id="14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41"/>
    <w:bookmarkStart w:id="142" w:name="ref-lane2018"/>
    <w:p>
      <w:pPr>
        <w:pStyle w:val="Bibliography"/>
      </w:pPr>
      <w:r>
        <w:t xml:space="preserve">Koene, A.</w:t>
      </w:r>
      <w:r>
        <w:t xml:space="preserve"> </w:t>
      </w:r>
      <w:r>
        <w:rPr>
          <w:iCs/>
          <w:i/>
        </w:rPr>
        <w:t xml:space="preserve">et al.</w:t>
      </w:r>
      <w:r>
        <w:t xml:space="preserve"> </w:t>
      </w:r>
      <w:r>
        <w:t xml:space="preserve">(2018)</w:t>
      </w:r>
      <w:r>
        <w:t xml:space="preserve"> </w:t>
      </w:r>
      <w:r>
        <w:t xml:space="preserve">‘UnBias: Emancipating users against algorithmic biases for a trusted digital economy’</w:t>
      </w:r>
      <w:r>
        <w:t xml:space="preserve">.</w:t>
      </w:r>
    </w:p>
    <w:bookmarkEnd w:id="142"/>
    <w:bookmarkStart w:id="144"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43">
        <w:r>
          <w:rPr>
            <w:rStyle w:val="Hyperlink"/>
          </w:rPr>
          <w:t xml:space="preserve">10.1111/j.1540-4560.1946.tb02295.x</w:t>
        </w:r>
      </w:hyperlink>
      <w:r>
        <w:t xml:space="preserve">.</w:t>
      </w:r>
    </w:p>
    <w:bookmarkEnd w:id="144"/>
    <w:bookmarkStart w:id="145"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45"/>
    <w:bookmarkStart w:id="147"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46">
        <w:r>
          <w:rPr>
            <w:rStyle w:val="Hyperlink"/>
          </w:rPr>
          <w:t xml:space="preserve">https://www.britannica.com/topic/individualism</w:t>
        </w:r>
      </w:hyperlink>
      <w:r>
        <w:t xml:space="preserve"> </w:t>
      </w:r>
      <w:r>
        <w:t xml:space="preserve">(accessed: 31 July 2022).</w:t>
      </w:r>
    </w:p>
    <w:bookmarkEnd w:id="147"/>
    <w:bookmarkStart w:id="14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48"/>
    <w:bookmarkStart w:id="150"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49">
        <w:r>
          <w:rPr>
            <w:rStyle w:val="Hyperlink"/>
          </w:rPr>
          <w:t xml:space="preserve">10.1145/1015530.1015549</w:t>
        </w:r>
      </w:hyperlink>
      <w:r>
        <w:t xml:space="preserve">.</w:t>
      </w:r>
    </w:p>
    <w:bookmarkEnd w:id="150"/>
    <w:bookmarkStart w:id="151" w:name="ref-mora2017"/>
    <w:p>
      <w:pPr>
        <w:pStyle w:val="Bibliography"/>
      </w:pPr>
      <w:r>
        <w:t xml:space="preserve">Mora, S., Gianni, F. and Divitini, M. (2017)</w:t>
      </w:r>
      <w:r>
        <w:t xml:space="preserve"> </w:t>
      </w:r>
      <w:r>
        <w:t xml:space="preserve">‘Tiles: A card-based ideation toolkit for the internet of things’</w:t>
      </w:r>
      <w:r>
        <w:t xml:space="preserve">, in</w:t>
      </w:r>
      <w:r>
        <w:t xml:space="preserve"> </w:t>
      </w:r>
      <w:r>
        <w:rPr>
          <w:iCs/>
          <w:i/>
        </w:rPr>
        <w:t xml:space="preserve">Proceedings of the 2017 conference on designing interactive systems</w:t>
      </w:r>
      <w:r>
        <w:t xml:space="preserve">, pp. 587–598.</w:t>
      </w:r>
    </w:p>
    <w:bookmarkEnd w:id="151"/>
    <w:bookmarkStart w:id="15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52">
        <w:r>
          <w:rPr>
            <w:rStyle w:val="Hyperlink"/>
          </w:rPr>
          <w:t xml:space="preserve">10.1145/1240624.1240832</w:t>
        </w:r>
      </w:hyperlink>
      <w:r>
        <w:t xml:space="preserve">.</w:t>
      </w:r>
    </w:p>
    <w:bookmarkEnd w:id="153"/>
    <w:bookmarkStart w:id="15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54"/>
    <w:bookmarkStart w:id="155"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55"/>
    <w:bookmarkStart w:id="15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56"/>
    <w:bookmarkStart w:id="158"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57">
        <w:r>
          <w:rPr>
            <w:rStyle w:val="Hyperlink"/>
          </w:rPr>
          <w:t xml:space="preserve">10.1207/s15326985ep2901_4</w:t>
        </w:r>
      </w:hyperlink>
      <w:r>
        <w:t xml:space="preserve">.</w:t>
      </w:r>
    </w:p>
    <w:bookmarkEnd w:id="158"/>
    <w:bookmarkStart w:id="159"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59"/>
    <w:bookmarkStart w:id="161"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60">
        <w:r>
          <w:rPr>
            <w:rStyle w:val="Hyperlink"/>
          </w:rPr>
          <w:t xml:space="preserve">http://en.wikipedia.org/wiki/Lean_Startup</w:t>
        </w:r>
      </w:hyperlink>
      <w:r>
        <w:t xml:space="preserve">.</w:t>
      </w:r>
    </w:p>
    <w:bookmarkEnd w:id="161"/>
    <w:bookmarkStart w:id="16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62">
        <w:r>
          <w:rPr>
            <w:rStyle w:val="Hyperlink"/>
          </w:rPr>
          <w:t xml:space="preserve">10.1080/15710882.2017.1310466</w:t>
        </w:r>
      </w:hyperlink>
      <w:r>
        <w:t xml:space="preserve">.</w:t>
      </w:r>
    </w:p>
    <w:bookmarkEnd w:id="163"/>
    <w:bookmarkStart w:id="16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64"/>
    <w:bookmarkStart w:id="165"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65"/>
    <w:bookmarkStart w:id="16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66">
        <w:r>
          <w:rPr>
            <w:rStyle w:val="Hyperlink"/>
          </w:rPr>
          <w:t xml:space="preserve">10.1016/b978-1-55860-092-8.50006-x</w:t>
        </w:r>
      </w:hyperlink>
      <w:r>
        <w:t xml:space="preserve">.</w:t>
      </w:r>
    </w:p>
    <w:bookmarkEnd w:id="167"/>
    <w:bookmarkStart w:id="16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68">
        <w:r>
          <w:rPr>
            <w:rStyle w:val="Hyperlink"/>
          </w:rPr>
          <w:t xml:space="preserve">10.1177/0162243910377624</w:t>
        </w:r>
      </w:hyperlink>
      <w:r>
        <w:t xml:space="preserve">.</w:t>
      </w:r>
    </w:p>
    <w:bookmarkEnd w:id="169"/>
    <w:bookmarkStart w:id="171"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70">
        <w:r>
          <w:rPr>
            <w:rStyle w:val="Hyperlink"/>
          </w:rPr>
          <w:t xml:space="preserve">https://www.gov.uk/guidance/mixed-methods-study</w:t>
        </w:r>
      </w:hyperlink>
      <w:r>
        <w:t xml:space="preserve">.</w:t>
      </w:r>
    </w:p>
    <w:bookmarkEnd w:id="171"/>
    <w:bookmarkStart w:id="17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72">
        <w:r>
          <w:rPr>
            <w:rStyle w:val="Hyperlink"/>
          </w:rPr>
          <w:t xml:space="preserve">10.1145/2851581.2886436</w:t>
        </w:r>
      </w:hyperlink>
      <w:r>
        <w:t xml:space="preserve">.</w:t>
      </w:r>
    </w:p>
    <w:bookmarkEnd w:id="173"/>
    <w:bookmarkStart w:id="17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74">
        <w:r>
          <w:rPr>
            <w:rStyle w:val="Hyperlink"/>
          </w:rPr>
          <w:t xml:space="preserve">10.1007/978-3-030-73426-8_22</w:t>
        </w:r>
      </w:hyperlink>
      <w:r>
        <w:t xml:space="preserve">.</w:t>
      </w:r>
    </w:p>
    <w:bookmarkEnd w:id="175"/>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It is important to note that while I, like many HCI researchers</w:t>
      </w:r>
      <w:r>
        <w:t xml:space="preserve"> </w:t>
      </w:r>
      <w:r>
        <w:t xml:space="preserve">(</w:t>
      </w:r>
      <w:hyperlink w:anchor="ref-hayes2011">
        <w:r>
          <w:rPr>
            <w:rStyle w:val="Hyperlink"/>
          </w:rPr>
          <w:t xml:space="preserve">Hayes, 2011</w:t>
        </w:r>
      </w:hyperlink>
      <w:r>
        <w:t xml:space="preserve">)</w:t>
      </w:r>
      <w:r>
        <w:t xml:space="preserve">, draw inspiration from an action research approach, I chose not to follow a formally-defined action research process such as</w:t>
      </w:r>
      <w:r>
        <w:t xml:space="preserve"> </w:t>
      </w:r>
      <w:r>
        <w:rPr>
          <w:iCs/>
          <w:i/>
        </w:rPr>
        <w:t xml:space="preserve">Participatory Action Research (PAR)</w:t>
      </w:r>
      <w:r>
        <w:t xml:space="preserve">. PAR seeks to make sense of the world through collaborative efforts to transform the world rather than just observing and studying it</w:t>
      </w:r>
      <w:r>
        <w:t xml:space="preserve"> </w:t>
      </w:r>
      <w:r>
        <w:t xml:space="preserve">(</w:t>
      </w:r>
      <w:hyperlink w:anchor="ref-lewin1951">
        <w:r>
          <w:rPr>
            <w:rStyle w:val="Hyperlink"/>
          </w:rPr>
          <w:t xml:space="preserve">Lewin, 1951</w:t>
        </w:r>
      </w:hyperlink>
      <w:r>
        <w:t xml:space="preserve">;</w:t>
      </w:r>
      <w:r>
        <w:t xml:space="preserve"> </w:t>
      </w:r>
      <w:hyperlink w:anchor="ref-chevalier2008">
        <w:r>
          <w:rPr>
            <w:rStyle w:val="Hyperlink"/>
          </w:rPr>
          <w:t xml:space="preserve">Chevalier and Buckles, 2008</w:t>
        </w:r>
      </w:hyperlink>
      <w:r>
        <w:t xml:space="preserve">)</w:t>
      </w:r>
      <w:r>
        <w:t xml:space="preserve">, as I do, however that is where the similarity ends; I determined that it would be more valuable to explore a variety of different contexts and activities over the PhD’s course than to repeatedly loop back to the same participants for iterative feedback of a single set of designs.</w:t>
      </w:r>
    </w:p>
  </w:footnote>
  <w:footnote w:id="7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7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58" Target="media/rId58.jpg" /><Relationship Type="http://schemas.openxmlformats.org/officeDocument/2006/relationships/image" Id="rId61" Target="media/rId61.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26" Target="media/rId26.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image" Id="rId48" Target="media/rId48.png" /><Relationship Type="http://schemas.openxmlformats.org/officeDocument/2006/relationships/image" Id="rId51" Target="media/rId51.jpg" /><Relationship Type="http://schemas.openxmlformats.org/officeDocument/2006/relationships/image" Id="rId55" Target="media/rId55.jpg" /><Relationship Type="http://schemas.openxmlformats.org/officeDocument/2006/relationships/hyperlink" Id="rId160" Target="http://en.wikipedia.org/wiki/Lean_Startup" TargetMode="External" /><Relationship Type="http://schemas.openxmlformats.org/officeDocument/2006/relationships/hyperlink" Id="rId121" Target="http://www.jstor.org/stable/3340973" TargetMode="External" /><Relationship Type="http://schemas.openxmlformats.org/officeDocument/2006/relationships/hyperlink" Id="rId128" Target="http://www.weforum.org/reports/personal-data-emergence-new-asset-class" TargetMode="External" /><Relationship Type="http://schemas.openxmlformats.org/officeDocument/2006/relationships/hyperlink" Id="rId85" Target="http://www.worldcat.org/title/computers-and-democracy-a-scandinavian-challenge/oclc/614994092?referer=di&amp;ht=edition" TargetMode="External" /><Relationship Type="http://schemas.openxmlformats.org/officeDocument/2006/relationships/hyperlink" Id="rId131" Target="http://www3.weforum.org/docs/WEF_RethinkingPersonalData_ANewLens_Report_2014.pdf" TargetMode="External" /><Relationship Type="http://schemas.openxmlformats.org/officeDocument/2006/relationships/hyperlink" Id="rId133" Target="http://www3.weforum.org/docs/WEF_RethinkingPersonalData_TrustandContext_Report_2014.pdf" TargetMode="External" /><Relationship Type="http://schemas.openxmlformats.org/officeDocument/2006/relationships/hyperlink" Id="rId8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82" Target="https://criticallegalthinking.com/2017/11/17/michel-foucault-discourse/" TargetMode="External" /><Relationship Type="http://schemas.openxmlformats.org/officeDocument/2006/relationships/hyperlink" Id="rId174" Target="https://doi.org/10.1007/978-3-030-73426-8_22" TargetMode="External" /><Relationship Type="http://schemas.openxmlformats.org/officeDocument/2006/relationships/hyperlink" Id="rId166" Target="https://doi.org/10.1016/b978-1-55860-092-8.50006-x" TargetMode="External" /><Relationship Type="http://schemas.openxmlformats.org/officeDocument/2006/relationships/hyperlink" Id="rId162" Target="https://doi.org/10.1080/15710882.2017.1310466" TargetMode="External" /><Relationship Type="http://schemas.openxmlformats.org/officeDocument/2006/relationships/hyperlink" Id="rId99" Target="https://doi.org/10.1093/pubmed/fdx125" TargetMode="External" /><Relationship Type="http://schemas.openxmlformats.org/officeDocument/2006/relationships/hyperlink" Id="rId143" Target="https://doi.org/10.1111/j.1540-4560.1946.tb02295.x" TargetMode="External" /><Relationship Type="http://schemas.openxmlformats.org/officeDocument/2006/relationships/hyperlink" Id="rId92" Target="https://doi.org/10.1145/1011870.1011885" TargetMode="External" /><Relationship Type="http://schemas.openxmlformats.org/officeDocument/2006/relationships/hyperlink" Id="rId149" Target="https://doi.org/10.1145/1015530.1015549" TargetMode="External" /><Relationship Type="http://schemas.openxmlformats.org/officeDocument/2006/relationships/hyperlink" Id="rId152" Target="https://doi.org/10.1145/1240624.1240832" TargetMode="External" /><Relationship Type="http://schemas.openxmlformats.org/officeDocument/2006/relationships/hyperlink" Id="rId119" Target="https://doi.org/10.1145/1858171.1858189" TargetMode="External" /><Relationship Type="http://schemas.openxmlformats.org/officeDocument/2006/relationships/hyperlink" Id="rId124" Target="https://doi.org/10.1145/1993060.1993065" TargetMode="External" /><Relationship Type="http://schemas.openxmlformats.org/officeDocument/2006/relationships/hyperlink" Id="rId102" Target="https://doi.org/10.1145/2818048.2819926" TargetMode="External" /><Relationship Type="http://schemas.openxmlformats.org/officeDocument/2006/relationships/hyperlink" Id="rId172" Target="https://doi.org/10.1145/2851581.2886436" TargetMode="External" /><Relationship Type="http://schemas.openxmlformats.org/officeDocument/2006/relationships/hyperlink" Id="rId90" Target="https://doi.org/10.1145/3173574.3173710" TargetMode="External" /><Relationship Type="http://schemas.openxmlformats.org/officeDocument/2006/relationships/hyperlink" Id="rId168" Target="https://doi.org/10.1177/0162243910377624" TargetMode="External" /><Relationship Type="http://schemas.openxmlformats.org/officeDocument/2006/relationships/hyperlink" Id="rId94" Target="https://doi.org/10.1191/1478088706qp063oa" TargetMode="External" /><Relationship Type="http://schemas.openxmlformats.org/officeDocument/2006/relationships/hyperlink" Id="rId157" Target="https://doi.org/10.1207/s15326985ep2901_4" TargetMode="External" /><Relationship Type="http://schemas.openxmlformats.org/officeDocument/2006/relationships/hyperlink" Id="rId111" Target="https://doi.org/10.7551/mitpress/8732.003.0007" TargetMode="External" /><Relationship Type="http://schemas.openxmlformats.org/officeDocument/2006/relationships/hyperlink" Id="rId139" Target="https://doi.org/10.7551/mitpress/9780262036016.003.0012" TargetMode="External" /><Relationship Type="http://schemas.openxmlformats.org/officeDocument/2006/relationships/hyperlink" Id="rId114" Target="https://research-methodology.net/research-philosophy/interpretivism/" TargetMode="External" /><Relationship Type="http://schemas.openxmlformats.org/officeDocument/2006/relationships/hyperlink" Id="rId96" Target="https://venturebeat.com/2015/03/15/heres-what-fail-fast-really-means/" TargetMode="External" /><Relationship Type="http://schemas.openxmlformats.org/officeDocument/2006/relationships/hyperlink" Id="rId126" Target="https://web.archive.org/web/20110220013300/http://www.weforum.org/issues/rethinking-personal-data" TargetMode="External" /><Relationship Type="http://schemas.openxmlformats.org/officeDocument/2006/relationships/hyperlink" Id="rId117" Target="https://williamjamesstudies.org/deweyan-pragmatism/" TargetMode="External" /><Relationship Type="http://schemas.openxmlformats.org/officeDocument/2006/relationships/hyperlink" Id="rId135" Target="https://www.britannica.com/topic/Web-20" TargetMode="External" /><Relationship Type="http://schemas.openxmlformats.org/officeDocument/2006/relationships/hyperlink" Id="rId146" Target="https://www.britannica.com/topic/individualism" TargetMode="External" /><Relationship Type="http://schemas.openxmlformats.org/officeDocument/2006/relationships/hyperlink" Id="rId107" Target="https://www.designcouncil.org.uk/news-opinion/what-framework-innovation-design-councils-evolved-double-diamond" TargetMode="External" /><Relationship Type="http://schemas.openxmlformats.org/officeDocument/2006/relationships/hyperlink" Id="rId170"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60" Target="http://en.wikipedia.org/wiki/Lean_Startup" TargetMode="External" /><Relationship Type="http://schemas.openxmlformats.org/officeDocument/2006/relationships/hyperlink" Id="rId121" Target="http://www.jstor.org/stable/3340973" TargetMode="External" /><Relationship Type="http://schemas.openxmlformats.org/officeDocument/2006/relationships/hyperlink" Id="rId128" Target="http://www.weforum.org/reports/personal-data-emergence-new-asset-class" TargetMode="External" /><Relationship Type="http://schemas.openxmlformats.org/officeDocument/2006/relationships/hyperlink" Id="rId85" Target="http://www.worldcat.org/title/computers-and-democracy-a-scandinavian-challenge/oclc/614994092?referer=di&amp;ht=edition" TargetMode="External" /><Relationship Type="http://schemas.openxmlformats.org/officeDocument/2006/relationships/hyperlink" Id="rId131" Target="http://www3.weforum.org/docs/WEF_RethinkingPersonalData_ANewLens_Report_2014.pdf" TargetMode="External" /><Relationship Type="http://schemas.openxmlformats.org/officeDocument/2006/relationships/hyperlink" Id="rId133" Target="http://www3.weforum.org/docs/WEF_RethinkingPersonalData_TrustandContext_Report_2014.pdf" TargetMode="External" /><Relationship Type="http://schemas.openxmlformats.org/officeDocument/2006/relationships/hyperlink" Id="rId8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82" Target="https://criticallegalthinking.com/2017/11/17/michel-foucault-discourse/" TargetMode="External" /><Relationship Type="http://schemas.openxmlformats.org/officeDocument/2006/relationships/hyperlink" Id="rId174" Target="https://doi.org/10.1007/978-3-030-73426-8_22" TargetMode="External" /><Relationship Type="http://schemas.openxmlformats.org/officeDocument/2006/relationships/hyperlink" Id="rId166" Target="https://doi.org/10.1016/b978-1-55860-092-8.50006-x" TargetMode="External" /><Relationship Type="http://schemas.openxmlformats.org/officeDocument/2006/relationships/hyperlink" Id="rId162" Target="https://doi.org/10.1080/15710882.2017.1310466" TargetMode="External" /><Relationship Type="http://schemas.openxmlformats.org/officeDocument/2006/relationships/hyperlink" Id="rId99" Target="https://doi.org/10.1093/pubmed/fdx125" TargetMode="External" /><Relationship Type="http://schemas.openxmlformats.org/officeDocument/2006/relationships/hyperlink" Id="rId143" Target="https://doi.org/10.1111/j.1540-4560.1946.tb02295.x" TargetMode="External" /><Relationship Type="http://schemas.openxmlformats.org/officeDocument/2006/relationships/hyperlink" Id="rId92" Target="https://doi.org/10.1145/1011870.1011885" TargetMode="External" /><Relationship Type="http://schemas.openxmlformats.org/officeDocument/2006/relationships/hyperlink" Id="rId149" Target="https://doi.org/10.1145/1015530.1015549" TargetMode="External" /><Relationship Type="http://schemas.openxmlformats.org/officeDocument/2006/relationships/hyperlink" Id="rId152" Target="https://doi.org/10.1145/1240624.1240832" TargetMode="External" /><Relationship Type="http://schemas.openxmlformats.org/officeDocument/2006/relationships/hyperlink" Id="rId119" Target="https://doi.org/10.1145/1858171.1858189" TargetMode="External" /><Relationship Type="http://schemas.openxmlformats.org/officeDocument/2006/relationships/hyperlink" Id="rId124" Target="https://doi.org/10.1145/1993060.1993065" TargetMode="External" /><Relationship Type="http://schemas.openxmlformats.org/officeDocument/2006/relationships/hyperlink" Id="rId102" Target="https://doi.org/10.1145/2818048.2819926" TargetMode="External" /><Relationship Type="http://schemas.openxmlformats.org/officeDocument/2006/relationships/hyperlink" Id="rId172" Target="https://doi.org/10.1145/2851581.2886436" TargetMode="External" /><Relationship Type="http://schemas.openxmlformats.org/officeDocument/2006/relationships/hyperlink" Id="rId90" Target="https://doi.org/10.1145/3173574.3173710" TargetMode="External" /><Relationship Type="http://schemas.openxmlformats.org/officeDocument/2006/relationships/hyperlink" Id="rId168" Target="https://doi.org/10.1177/0162243910377624" TargetMode="External" /><Relationship Type="http://schemas.openxmlformats.org/officeDocument/2006/relationships/hyperlink" Id="rId94" Target="https://doi.org/10.1191/1478088706qp063oa" TargetMode="External" /><Relationship Type="http://schemas.openxmlformats.org/officeDocument/2006/relationships/hyperlink" Id="rId157" Target="https://doi.org/10.1207/s15326985ep2901_4" TargetMode="External" /><Relationship Type="http://schemas.openxmlformats.org/officeDocument/2006/relationships/hyperlink" Id="rId111" Target="https://doi.org/10.7551/mitpress/8732.003.0007" TargetMode="External" /><Relationship Type="http://schemas.openxmlformats.org/officeDocument/2006/relationships/hyperlink" Id="rId139" Target="https://doi.org/10.7551/mitpress/9780262036016.003.0012" TargetMode="External" /><Relationship Type="http://schemas.openxmlformats.org/officeDocument/2006/relationships/hyperlink" Id="rId114" Target="https://research-methodology.net/research-philosophy/interpretivism/" TargetMode="External" /><Relationship Type="http://schemas.openxmlformats.org/officeDocument/2006/relationships/hyperlink" Id="rId96" Target="https://venturebeat.com/2015/03/15/heres-what-fail-fast-really-means/" TargetMode="External" /><Relationship Type="http://schemas.openxmlformats.org/officeDocument/2006/relationships/hyperlink" Id="rId126" Target="https://web.archive.org/web/20110220013300/http://www.weforum.org/issues/rethinking-personal-data" TargetMode="External" /><Relationship Type="http://schemas.openxmlformats.org/officeDocument/2006/relationships/hyperlink" Id="rId117" Target="https://williamjamesstudies.org/deweyan-pragmatism/" TargetMode="External" /><Relationship Type="http://schemas.openxmlformats.org/officeDocument/2006/relationships/hyperlink" Id="rId135" Target="https://www.britannica.com/topic/Web-20" TargetMode="External" /><Relationship Type="http://schemas.openxmlformats.org/officeDocument/2006/relationships/hyperlink" Id="rId146" Target="https://www.britannica.com/topic/individualism" TargetMode="External" /><Relationship Type="http://schemas.openxmlformats.org/officeDocument/2006/relationships/hyperlink" Id="rId107" Target="https://www.designcouncil.org.uk/news-opinion/what-framework-innovation-design-councils-evolved-double-diamond" TargetMode="External" /><Relationship Type="http://schemas.openxmlformats.org/officeDocument/2006/relationships/hyperlink" Id="rId170"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2023-05-29T18:01:52Z</dcterms:created>
  <dcterms:modified xsi:type="dcterms:W3CDTF">2023-05-29T18:01:52Z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